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46CB505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D908B4">
        <w:rPr>
          <w:noProof w:val="0"/>
          <w:sz w:val="24"/>
          <w:szCs w:val="24"/>
        </w:rPr>
        <w:t>2</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C275BC">
        <w:rPr>
          <w:bCs/>
          <w:noProof w:val="0"/>
          <w:sz w:val="24"/>
          <w:szCs w:val="24"/>
        </w:rPr>
        <w:t>1</w:t>
      </w:r>
      <w:r w:rsidR="00371F38">
        <w:rPr>
          <w:bCs/>
          <w:noProof w:val="0"/>
          <w:sz w:val="24"/>
          <w:szCs w:val="24"/>
        </w:rPr>
        <w:t>2327</w:t>
      </w:r>
    </w:p>
    <w:p w14:paraId="1822B173" w14:textId="732FF395"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D908B4" w:rsidRPr="00D908B4">
        <w:rPr>
          <w:rFonts w:cs="Arial"/>
          <w:sz w:val="24"/>
          <w:szCs w:val="24"/>
          <w:lang w:val="en-US"/>
        </w:rPr>
        <w:t>17 – 27 May</w:t>
      </w:r>
      <w:r w:rsidR="003702F7" w:rsidRPr="003702F7">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9B4246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FD6740">
        <w:rPr>
          <w:rFonts w:cs="Arial"/>
          <w:b/>
          <w:bCs/>
          <w:sz w:val="24"/>
          <w:lang w:val="en-US" w:eastAsia="ja-JP"/>
        </w:rPr>
        <w:t>10.2.2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099D161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65D0">
        <w:rPr>
          <w:rFonts w:ascii="Arial" w:hAnsi="Arial" w:cs="Arial"/>
          <w:b/>
          <w:bCs/>
          <w:sz w:val="24"/>
        </w:rPr>
        <w:t xml:space="preserve">Further </w:t>
      </w:r>
      <w:r w:rsidR="004F665E">
        <w:rPr>
          <w:rFonts w:ascii="Arial" w:hAnsi="Arial" w:cs="Arial"/>
          <w:b/>
          <w:bCs/>
          <w:sz w:val="24"/>
        </w:rPr>
        <w:t>analysis</w:t>
      </w:r>
      <w:r w:rsidR="000D65D0" w:rsidRPr="000D65D0">
        <w:rPr>
          <w:rFonts w:ascii="Arial" w:hAnsi="Arial" w:cs="Arial"/>
          <w:b/>
          <w:bCs/>
          <w:sz w:val="24"/>
        </w:rPr>
        <w:t xml:space="preserve"> on beam aspects and split architecture for CCO</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7373EA5B" w14:textId="2F11C156" w:rsidR="002B06A8" w:rsidRDefault="002B06A8" w:rsidP="002B06A8">
      <w:r>
        <w:t xml:space="preserve">In this paper we provide further </w:t>
      </w:r>
      <w:r w:rsidR="004F665E">
        <w:t>analysis</w:t>
      </w:r>
      <w:r>
        <w:t xml:space="preserve"> on open issues</w:t>
      </w:r>
      <w:r w:rsidR="004F665E">
        <w:t xml:space="preserve"> already discussed at RAN3#111-e but not yet solved</w:t>
      </w:r>
      <w:r>
        <w:t>:</w:t>
      </w:r>
    </w:p>
    <w:p w14:paraId="21763FF3" w14:textId="77777777" w:rsidR="00D617AE" w:rsidRPr="00660153" w:rsidRDefault="00D617AE" w:rsidP="00D617AE">
      <w:pPr>
        <w:widowControl w:val="0"/>
        <w:rPr>
          <w:rFonts w:ascii="Calibri" w:hAnsi="Calibri" w:cs="Calibri"/>
          <w:i/>
          <w:color w:val="FF0000"/>
          <w:sz w:val="16"/>
          <w:szCs w:val="16"/>
        </w:rPr>
      </w:pPr>
      <w:r w:rsidRPr="00660153">
        <w:rPr>
          <w:rFonts w:ascii="Calibri" w:hAnsi="Calibri" w:cs="Calibri"/>
          <w:i/>
          <w:color w:val="FF0000"/>
          <w:sz w:val="16"/>
          <w:szCs w:val="16"/>
        </w:rPr>
        <w:t>- FFS whether CCO over Xn is signaled as separate per cell state information and SSB state information or whether each cell state reflect a specific SSB configuration</w:t>
      </w:r>
    </w:p>
    <w:p w14:paraId="508005EC" w14:textId="77777777" w:rsidR="00D617AE" w:rsidRPr="00660153" w:rsidRDefault="00D617AE" w:rsidP="00D617AE">
      <w:pPr>
        <w:widowControl w:val="0"/>
        <w:rPr>
          <w:rFonts w:ascii="Calibri" w:hAnsi="Calibri" w:cs="Calibri"/>
          <w:i/>
          <w:color w:val="FF0000"/>
          <w:sz w:val="16"/>
          <w:szCs w:val="16"/>
        </w:rPr>
      </w:pPr>
      <w:r w:rsidRPr="00660153">
        <w:rPr>
          <w:rFonts w:ascii="Calibri" w:hAnsi="Calibri" w:cs="Calibri"/>
          <w:i/>
          <w:color w:val="FF0000"/>
          <w:sz w:val="16"/>
          <w:szCs w:val="16"/>
        </w:rPr>
        <w:t>- FFS who decides that a coverage modification is needed: gNB-DU or gNB-CU</w:t>
      </w:r>
    </w:p>
    <w:p w14:paraId="5732DDC0" w14:textId="5A7014DC" w:rsidR="00D617AE" w:rsidRDefault="00D617AE" w:rsidP="00D617AE">
      <w:r w:rsidRPr="00660153">
        <w:rPr>
          <w:rFonts w:ascii="Calibri" w:hAnsi="Calibri" w:cs="Calibri"/>
          <w:i/>
          <w:color w:val="FF0000"/>
          <w:sz w:val="16"/>
          <w:szCs w:val="16"/>
        </w:rPr>
        <w:t>- FFS who decides how to modify the coverage: gNB-DU or gNB-CU</w:t>
      </w:r>
    </w:p>
    <w:p w14:paraId="32792FCA" w14:textId="77777777" w:rsidR="002B06A8" w:rsidRDefault="002B06A8" w:rsidP="002B06A8">
      <w:pPr>
        <w:pStyle w:val="Heading1"/>
      </w:pPr>
      <w:r w:rsidRPr="006E13D1">
        <w:t>2</w:t>
      </w:r>
      <w:r w:rsidRPr="006E13D1">
        <w:tab/>
      </w:r>
      <w:r>
        <w:t>Discussion</w:t>
      </w:r>
    </w:p>
    <w:p w14:paraId="6E2B2089" w14:textId="56ADD4D5" w:rsidR="002B06A8" w:rsidRDefault="002B06A8" w:rsidP="002B06A8">
      <w:pPr>
        <w:pStyle w:val="Heading2"/>
      </w:pPr>
      <w:r>
        <w:t>2.1</w:t>
      </w:r>
      <w:r>
        <w:tab/>
      </w:r>
      <w:r w:rsidR="005B4CE1">
        <w:t>CCO</w:t>
      </w:r>
      <w:r>
        <w:t xml:space="preserve"> over Xn</w:t>
      </w:r>
    </w:p>
    <w:p w14:paraId="078C24E7" w14:textId="77777777" w:rsidR="002B06A8" w:rsidRPr="0021448D" w:rsidRDefault="002B06A8" w:rsidP="002B06A8">
      <w:r>
        <w:t>The related open issue is:</w:t>
      </w:r>
    </w:p>
    <w:p w14:paraId="26707295" w14:textId="77777777" w:rsidR="002B06A8" w:rsidRPr="0021448D" w:rsidRDefault="002B06A8" w:rsidP="002B06A8">
      <w:pPr>
        <w:widowControl w:val="0"/>
        <w:rPr>
          <w:rFonts w:ascii="Calibri" w:hAnsi="Calibri" w:cs="Calibri"/>
          <w:i/>
          <w:color w:val="FF0000"/>
          <w:sz w:val="18"/>
          <w:szCs w:val="18"/>
        </w:rPr>
      </w:pPr>
      <w:r w:rsidRPr="0021448D">
        <w:rPr>
          <w:rFonts w:ascii="Calibri" w:hAnsi="Calibri" w:cs="Calibri"/>
          <w:i/>
          <w:color w:val="FF0000"/>
          <w:sz w:val="18"/>
          <w:szCs w:val="18"/>
        </w:rPr>
        <w:t>- FFS whether CCO over Xn is signaled as separate per cell state information and SSB state information or whether each cell state reflect a specific SSB configuration</w:t>
      </w:r>
    </w:p>
    <w:p w14:paraId="42E88E9A" w14:textId="77777777" w:rsidR="002B06A8" w:rsidRDefault="002B06A8" w:rsidP="002B06A8">
      <w:r>
        <w:t>as well as the following agreement:</w:t>
      </w:r>
    </w:p>
    <w:p w14:paraId="6EB386EE" w14:textId="77777777" w:rsidR="002B06A8" w:rsidRPr="00840BF8" w:rsidRDefault="002B06A8" w:rsidP="002B06A8">
      <w:pPr>
        <w:widowControl w:val="0"/>
        <w:spacing w:after="0"/>
        <w:rPr>
          <w:rFonts w:ascii="Calibri" w:hAnsi="Calibri" w:cs="Calibri"/>
          <w:b/>
          <w:bCs/>
          <w:iCs/>
          <w:color w:val="00B050"/>
          <w:sz w:val="18"/>
          <w:szCs w:val="18"/>
        </w:rPr>
      </w:pPr>
      <w:r w:rsidRPr="00840BF8">
        <w:rPr>
          <w:rFonts w:ascii="Calibri" w:hAnsi="Calibri" w:cs="Calibri"/>
          <w:b/>
          <w:bCs/>
          <w:iCs/>
          <w:color w:val="00B050"/>
          <w:sz w:val="18"/>
          <w:szCs w:val="18"/>
        </w:rPr>
        <w:t xml:space="preserve">- The CCO signaling over Xn supports SSB beam coverage optimizations. </w:t>
      </w:r>
    </w:p>
    <w:p w14:paraId="784C4242" w14:textId="77777777" w:rsidR="002B06A8" w:rsidRDefault="002B06A8" w:rsidP="002B06A8"/>
    <w:p w14:paraId="00D3A6BD" w14:textId="304D45BC" w:rsidR="00BF39C7" w:rsidRDefault="00FC5B6F" w:rsidP="002B06A8">
      <w:r>
        <w:t>Based on the discussion at the previous meeting, many companies considered that a change in cell state correspond to change in SSB state. Other companies considered that additional SSB state information could e.g. speed up convergence in the algorithms. However</w:t>
      </w:r>
      <w:r w:rsidR="00BF39C7">
        <w:t xml:space="preserve">, </w:t>
      </w:r>
      <w:r w:rsidR="00DF1641">
        <w:t>i</w:t>
      </w:r>
      <w:r w:rsidR="00DF1641" w:rsidRPr="00DF1641">
        <w:t xml:space="preserve">f the rational of the Xn signalling should be same as for LTE, then </w:t>
      </w:r>
      <w:r w:rsidR="00DF1641">
        <w:t xml:space="preserve">it is used to inform the neighbouring cells of new cell state in terms of </w:t>
      </w:r>
      <w:r w:rsidR="00551ED3">
        <w:t xml:space="preserve">new number of SSB beams which are to be measured by the UEs for mobility, for instance, as well as immediately switching to new MRO instance matching with that cell state. </w:t>
      </w:r>
      <w:r w:rsidR="00DF1641" w:rsidRPr="00DF1641">
        <w:t xml:space="preserve">CCO optimization </w:t>
      </w:r>
      <w:r w:rsidR="00551ED3">
        <w:t xml:space="preserve">of the reporting cell </w:t>
      </w:r>
      <w:r w:rsidR="00DF1641" w:rsidRPr="00DF1641">
        <w:t xml:space="preserve">is already done and there is </w:t>
      </w:r>
      <w:proofErr w:type="gramStart"/>
      <w:r w:rsidR="00DF1641" w:rsidRPr="00DF1641">
        <w:t>actually no</w:t>
      </w:r>
      <w:proofErr w:type="gramEnd"/>
      <w:r w:rsidR="00DF1641" w:rsidRPr="00DF1641">
        <w:t xml:space="preserve"> need of speeding up convergence. </w:t>
      </w:r>
      <w:r w:rsidR="008947A8">
        <w:t xml:space="preserve">It should however also be considered that the cell densification effect of LTE with cell splitting/merging cannot be simply copied to NR because of missing cell-specific reference signals (RS). For initial access and mobility, NR uses </w:t>
      </w:r>
      <w:r w:rsidR="008947A8" w:rsidRPr="008947A8">
        <w:t>SSB-R</w:t>
      </w:r>
      <w:r w:rsidR="008947A8">
        <w:t xml:space="preserve">S, while user plan connectivity where capacity place a role is controlled by CSI-RS. </w:t>
      </w:r>
      <w:r w:rsidR="00D81935">
        <w:t xml:space="preserve">Therefore, capacity optimization by changing SSB beam setup is not </w:t>
      </w:r>
      <w:proofErr w:type="gramStart"/>
      <w:r w:rsidR="00D81935">
        <w:t>really applicable</w:t>
      </w:r>
      <w:proofErr w:type="gramEnd"/>
      <w:r w:rsidR="00D81935">
        <w:t xml:space="preserve"> in NR as in LTE (only if same beamforming setup is used for SSB and CSI-RS). Nevertheless, the cell layout optimization with adaptation of SSB beams will needed</w:t>
      </w:r>
      <w:r w:rsidR="009A0F10">
        <w:t xml:space="preserve">, even though the basic intention is no longer the same as for LTE. Coverage optimization in combination with optimal beam setup is a challenge per se. </w:t>
      </w:r>
    </w:p>
    <w:p w14:paraId="06EEFA2B" w14:textId="1E23CF0F" w:rsidR="002B06A8" w:rsidRDefault="008A1A38" w:rsidP="002B06A8">
      <w:r>
        <w:t>A such basic solution could be: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121"/>
        <w:gridCol w:w="1695"/>
        <w:gridCol w:w="1274"/>
        <w:gridCol w:w="1457"/>
        <w:gridCol w:w="1106"/>
        <w:gridCol w:w="1274"/>
      </w:tblGrid>
      <w:tr w:rsidR="002B06A8" w14:paraId="451DFE4B" w14:textId="77777777" w:rsidTr="00C34C88">
        <w:tc>
          <w:tcPr>
            <w:tcW w:w="2558" w:type="dxa"/>
            <w:tcBorders>
              <w:top w:val="single" w:sz="4" w:space="0" w:color="auto"/>
              <w:left w:val="single" w:sz="4" w:space="0" w:color="auto"/>
              <w:bottom w:val="single" w:sz="4" w:space="0" w:color="auto"/>
              <w:right w:val="single" w:sz="4" w:space="0" w:color="auto"/>
            </w:tcBorders>
          </w:tcPr>
          <w:p w14:paraId="18FFF60D" w14:textId="77777777" w:rsidR="002B06A8" w:rsidRDefault="002B06A8" w:rsidP="00C34C88">
            <w:pPr>
              <w:pStyle w:val="TAL"/>
              <w:rPr>
                <w:rFonts w:cs="Arial"/>
                <w:szCs w:val="18"/>
                <w:lang w:eastAsia="zh-CN"/>
              </w:rPr>
            </w:pPr>
            <w:r>
              <w:rPr>
                <w:lang w:eastAsia="ja-JP"/>
              </w:rPr>
              <w:lastRenderedPageBreak/>
              <w:t>&gt;Cell Coverage State</w:t>
            </w:r>
          </w:p>
        </w:tc>
        <w:tc>
          <w:tcPr>
            <w:tcW w:w="1121" w:type="dxa"/>
            <w:tcBorders>
              <w:top w:val="single" w:sz="4" w:space="0" w:color="auto"/>
              <w:left w:val="single" w:sz="4" w:space="0" w:color="auto"/>
              <w:bottom w:val="single" w:sz="4" w:space="0" w:color="auto"/>
              <w:right w:val="single" w:sz="4" w:space="0" w:color="auto"/>
            </w:tcBorders>
          </w:tcPr>
          <w:p w14:paraId="2E8F0D91" w14:textId="77777777" w:rsidR="002B06A8" w:rsidRDefault="002B06A8" w:rsidP="00C34C88">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41083A09" w14:textId="77777777" w:rsidR="002B06A8" w:rsidRDefault="002B06A8" w:rsidP="00C34C88">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3A7343F" w14:textId="77777777" w:rsidR="002B06A8" w:rsidRDefault="002B06A8" w:rsidP="00C34C88">
            <w:pPr>
              <w:pStyle w:val="TAL"/>
              <w:rPr>
                <w:rFonts w:cs="Arial"/>
                <w:szCs w:val="18"/>
                <w:lang w:eastAsia="ja-JP"/>
              </w:rPr>
            </w:pPr>
            <w:r>
              <w:rPr>
                <w:snapToGrid w:val="0"/>
                <w:lang w:eastAsia="ja-JP"/>
              </w:rPr>
              <w:t>INTEGER (0..FFS, …)</w:t>
            </w:r>
          </w:p>
        </w:tc>
        <w:tc>
          <w:tcPr>
            <w:tcW w:w="1457" w:type="dxa"/>
            <w:tcBorders>
              <w:top w:val="single" w:sz="4" w:space="0" w:color="auto"/>
              <w:left w:val="single" w:sz="4" w:space="0" w:color="auto"/>
              <w:bottom w:val="single" w:sz="4" w:space="0" w:color="auto"/>
              <w:right w:val="single" w:sz="4" w:space="0" w:color="auto"/>
            </w:tcBorders>
          </w:tcPr>
          <w:p w14:paraId="708C51F0" w14:textId="77777777" w:rsidR="002B06A8" w:rsidRDefault="002B06A8" w:rsidP="00C34C88">
            <w:pPr>
              <w:pStyle w:val="TAL"/>
              <w:rPr>
                <w:bCs/>
                <w:lang w:eastAsia="zh-CN"/>
              </w:rPr>
            </w:pPr>
            <w:r>
              <w:rPr>
                <w:rFonts w:eastAsia="SimSun"/>
                <w:lang w:eastAsia="zh-CN"/>
              </w:rPr>
              <w:t xml:space="preserve">Value '0' indicates that the cell is inactive. Other values Indicates that the cell is active </w:t>
            </w:r>
            <w:proofErr w:type="gramStart"/>
            <w:r>
              <w:rPr>
                <w:rFonts w:eastAsia="SimSun"/>
                <w:lang w:eastAsia="zh-CN"/>
              </w:rPr>
              <w:t>and also</w:t>
            </w:r>
            <w:proofErr w:type="gramEnd"/>
            <w:r>
              <w:rPr>
                <w:rFonts w:eastAsia="SimSun"/>
                <w:lang w:eastAsia="zh-CN"/>
              </w:rPr>
              <w:t xml:space="preserve"> indicates the </w:t>
            </w:r>
            <w:r w:rsidRPr="008A1A38">
              <w:rPr>
                <w:rFonts w:eastAsia="SimSun"/>
                <w:u w:val="single"/>
                <w:lang w:eastAsia="zh-CN"/>
              </w:rPr>
              <w:t>coverage and SSB beam configuration</w:t>
            </w:r>
            <w:r>
              <w:rPr>
                <w:rFonts w:eastAsia="SimSun"/>
                <w:lang w:eastAsia="zh-CN"/>
              </w:rPr>
              <w:t xml:space="preserve"> of the concerned cell.</w:t>
            </w:r>
          </w:p>
        </w:tc>
        <w:tc>
          <w:tcPr>
            <w:tcW w:w="1106" w:type="dxa"/>
            <w:tcBorders>
              <w:top w:val="single" w:sz="4" w:space="0" w:color="auto"/>
              <w:left w:val="single" w:sz="4" w:space="0" w:color="auto"/>
              <w:bottom w:val="single" w:sz="4" w:space="0" w:color="auto"/>
              <w:right w:val="single" w:sz="4" w:space="0" w:color="auto"/>
            </w:tcBorders>
          </w:tcPr>
          <w:p w14:paraId="52306A88" w14:textId="77777777" w:rsidR="002B06A8" w:rsidRDefault="002B06A8" w:rsidP="00C34C88">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73D779" w14:textId="77777777" w:rsidR="002B06A8" w:rsidRDefault="002B06A8" w:rsidP="00C34C88">
            <w:pPr>
              <w:pStyle w:val="TAC"/>
              <w:rPr>
                <w:rFonts w:cs="Arial"/>
                <w:szCs w:val="18"/>
                <w:lang w:eastAsia="ja-JP"/>
              </w:rPr>
            </w:pPr>
          </w:p>
        </w:tc>
      </w:tr>
    </w:tbl>
    <w:p w14:paraId="2AB16C13" w14:textId="77777777" w:rsidR="002B06A8" w:rsidRDefault="002B06A8" w:rsidP="002B06A8"/>
    <w:p w14:paraId="43004954" w14:textId="1F79120B" w:rsidR="002B06A8" w:rsidRPr="00662CBF" w:rsidRDefault="002B06A8" w:rsidP="002B06A8">
      <w:pPr>
        <w:rPr>
          <w:b/>
          <w:bCs/>
        </w:rPr>
      </w:pPr>
      <w:r w:rsidRPr="00662CBF">
        <w:rPr>
          <w:b/>
          <w:bCs/>
        </w:rPr>
        <w:t>Proposal 1: Introduce support of basic NR CCO solution in Rel-17, where the SSB-beam configuration is linked with the cell coverage state.</w:t>
      </w:r>
    </w:p>
    <w:p w14:paraId="7D09F98C" w14:textId="77F78AEE" w:rsidR="002B06A8" w:rsidRDefault="002B06A8" w:rsidP="002B06A8">
      <w:pPr>
        <w:pStyle w:val="Heading2"/>
      </w:pPr>
      <w:r>
        <w:t>2.2</w:t>
      </w:r>
      <w:r>
        <w:tab/>
      </w:r>
      <w:r w:rsidR="005B4CE1">
        <w:t xml:space="preserve">CCO over F1 </w:t>
      </w:r>
    </w:p>
    <w:p w14:paraId="4ABC3A43" w14:textId="68DA0B06" w:rsidR="00D6491C" w:rsidRDefault="00D6491C" w:rsidP="00D6491C">
      <w:r>
        <w:t>The related open issues are:</w:t>
      </w:r>
    </w:p>
    <w:p w14:paraId="3213FA3A" w14:textId="77777777" w:rsidR="00D6491C" w:rsidRPr="00662CBF" w:rsidRDefault="00D6491C" w:rsidP="00D6491C">
      <w:pPr>
        <w:widowControl w:val="0"/>
        <w:rPr>
          <w:rFonts w:ascii="Calibri" w:hAnsi="Calibri" w:cs="Calibri"/>
          <w:i/>
          <w:color w:val="FF0000"/>
          <w:sz w:val="18"/>
          <w:szCs w:val="18"/>
        </w:rPr>
      </w:pPr>
      <w:r w:rsidRPr="00662CBF">
        <w:rPr>
          <w:rFonts w:ascii="Calibri" w:hAnsi="Calibri" w:cs="Calibri"/>
          <w:i/>
          <w:color w:val="FF0000"/>
          <w:sz w:val="18"/>
          <w:szCs w:val="18"/>
        </w:rPr>
        <w:t>- FFS who decides that a coverage modification is needed: gNB-DU or gNB-CU</w:t>
      </w:r>
    </w:p>
    <w:p w14:paraId="63472CCE" w14:textId="77777777" w:rsidR="007E32C0" w:rsidRPr="009157F6" w:rsidRDefault="007E32C0" w:rsidP="007E32C0">
      <w:pPr>
        <w:widowControl w:val="0"/>
        <w:rPr>
          <w:rFonts w:ascii="Calibri" w:hAnsi="Calibri" w:cs="Calibri"/>
          <w:i/>
          <w:color w:val="FF0000"/>
          <w:sz w:val="18"/>
          <w:szCs w:val="18"/>
        </w:rPr>
      </w:pPr>
      <w:r w:rsidRPr="009157F6">
        <w:rPr>
          <w:rFonts w:ascii="Calibri" w:hAnsi="Calibri" w:cs="Calibri"/>
          <w:i/>
          <w:color w:val="FF0000"/>
          <w:sz w:val="18"/>
          <w:szCs w:val="18"/>
        </w:rPr>
        <w:t>- FFS who decides how to modify the coverage: gNB-DU or gNB-CU</w:t>
      </w:r>
    </w:p>
    <w:p w14:paraId="123C3420" w14:textId="721ED988" w:rsidR="00D6491C" w:rsidRDefault="00812A95" w:rsidP="002B06A8">
      <w:r>
        <w:t>During</w:t>
      </w:r>
      <w:r w:rsidR="00D6491C">
        <w:t xml:space="preserve"> RAN3#111-e the following potential agreements were identified but convergence could not be reached:</w:t>
      </w:r>
    </w:p>
    <w:p w14:paraId="6DFC0399" w14:textId="77777777" w:rsidR="00D6491C" w:rsidRDefault="00D6491C" w:rsidP="00D6491C">
      <w:pPr>
        <w:numPr>
          <w:ilvl w:val="1"/>
          <w:numId w:val="5"/>
        </w:numPr>
        <w:spacing w:after="120"/>
        <w:rPr>
          <w:b/>
        </w:rPr>
      </w:pPr>
      <w:r w:rsidRPr="00B133A1">
        <w:rPr>
          <w:b/>
        </w:rPr>
        <w:t>gNB-CU decides that a coverage modification is needed</w:t>
      </w:r>
    </w:p>
    <w:p w14:paraId="7822E4DD" w14:textId="543E1329" w:rsidR="00D6491C" w:rsidRDefault="00D6491C" w:rsidP="00D6491C">
      <w:pPr>
        <w:numPr>
          <w:ilvl w:val="1"/>
          <w:numId w:val="5"/>
        </w:numPr>
        <w:spacing w:after="120"/>
        <w:rPr>
          <w:b/>
          <w:lang w:eastAsia="zh-CN"/>
        </w:rPr>
      </w:pPr>
      <w:r w:rsidRPr="00B133A1">
        <w:rPr>
          <w:b/>
          <w:lang w:eastAsia="zh-CN"/>
        </w:rPr>
        <w:t>gNB-CU indicate</w:t>
      </w:r>
      <w:r w:rsidR="009A0F10">
        <w:rPr>
          <w:b/>
          <w:lang w:eastAsia="zh-CN"/>
        </w:rPr>
        <w:t>s</w:t>
      </w:r>
      <w:r w:rsidRPr="00B133A1">
        <w:rPr>
          <w:b/>
          <w:lang w:eastAsia="zh-CN"/>
        </w:rPr>
        <w:t xml:space="preserve"> what the problem is to gNB-DU</w:t>
      </w:r>
    </w:p>
    <w:p w14:paraId="6DB2DBDB" w14:textId="6C71E68E" w:rsidR="00D6491C" w:rsidRDefault="00D6491C" w:rsidP="00D6491C">
      <w:pPr>
        <w:numPr>
          <w:ilvl w:val="1"/>
          <w:numId w:val="5"/>
        </w:numPr>
        <w:spacing w:after="120"/>
        <w:rPr>
          <w:b/>
          <w:lang w:eastAsia="zh-CN"/>
        </w:rPr>
      </w:pPr>
      <w:r w:rsidRPr="00B133A1">
        <w:rPr>
          <w:b/>
          <w:lang w:eastAsia="zh-CN"/>
        </w:rPr>
        <w:t>gNB-CU provide</w:t>
      </w:r>
      <w:r w:rsidR="009A0F10">
        <w:rPr>
          <w:b/>
          <w:lang w:eastAsia="zh-CN"/>
        </w:rPr>
        <w:t>s</w:t>
      </w:r>
      <w:r w:rsidRPr="00B133A1">
        <w:rPr>
          <w:b/>
          <w:lang w:eastAsia="zh-CN"/>
        </w:rPr>
        <w:t xml:space="preserve"> proposed coverage change(s) to the gNB-DU</w:t>
      </w:r>
    </w:p>
    <w:p w14:paraId="01A95E38" w14:textId="68A6CD8B" w:rsidR="00D6491C" w:rsidRDefault="00D6491C" w:rsidP="00D6491C">
      <w:pPr>
        <w:numPr>
          <w:ilvl w:val="1"/>
          <w:numId w:val="5"/>
        </w:numPr>
        <w:spacing w:after="120"/>
        <w:rPr>
          <w:b/>
          <w:lang w:eastAsia="zh-CN"/>
        </w:rPr>
      </w:pPr>
      <w:r w:rsidRPr="00B133A1">
        <w:rPr>
          <w:b/>
          <w:lang w:eastAsia="zh-CN"/>
        </w:rPr>
        <w:t>gNB-DU provide</w:t>
      </w:r>
      <w:r w:rsidR="009A0F10">
        <w:rPr>
          <w:b/>
          <w:lang w:eastAsia="zh-CN"/>
        </w:rPr>
        <w:t>s</w:t>
      </w:r>
      <w:r w:rsidRPr="00B133A1">
        <w:rPr>
          <w:b/>
          <w:lang w:eastAsia="zh-CN"/>
        </w:rPr>
        <w:t xml:space="preserve"> the agreed change back to the gNB-CU</w:t>
      </w:r>
    </w:p>
    <w:p w14:paraId="2DA9A1F4" w14:textId="02B5F42F" w:rsidR="002B06A8" w:rsidRDefault="009F5440" w:rsidP="002B06A8">
      <w:r>
        <w:t xml:space="preserve">It was high-lighted by many companies that the CU, as the central node, should both determine that coverage modification is needed (bullet a), </w:t>
      </w:r>
      <w:proofErr w:type="gramStart"/>
      <w:r>
        <w:t>and also</w:t>
      </w:r>
      <w:proofErr w:type="gramEnd"/>
      <w:r>
        <w:t xml:space="preserve"> propose the coverage change (bullet c). In </w:t>
      </w:r>
      <w:r w:rsidR="00812A95">
        <w:t xml:space="preserve">the final </w:t>
      </w:r>
      <w:proofErr w:type="gramStart"/>
      <w:r w:rsidR="009A0F10">
        <w:t>online-</w:t>
      </w:r>
      <w:r>
        <w:t>discussion</w:t>
      </w:r>
      <w:proofErr w:type="gramEnd"/>
      <w:r>
        <w:t xml:space="preserve"> t</w:t>
      </w:r>
      <w:r w:rsidR="007E32C0">
        <w:t>here seemed to be convergence on bullet a, and diverging views relative to b, c and d</w:t>
      </w:r>
      <w:r w:rsidR="00812A95">
        <w:t>. T</w:t>
      </w:r>
      <w:r w:rsidR="007E32C0">
        <w:t>hese latter bullets may be considered linked together.</w:t>
      </w:r>
    </w:p>
    <w:p w14:paraId="4DE9FFE7" w14:textId="3FC8CCC8" w:rsidR="009B56F1" w:rsidRDefault="00812A95" w:rsidP="009B56F1">
      <w:r>
        <w:t>In our view</w:t>
      </w:r>
      <w:r w:rsidR="009F5440">
        <w:t xml:space="preserve">, </w:t>
      </w:r>
      <w:r>
        <w:t xml:space="preserve">the </w:t>
      </w:r>
      <w:r w:rsidR="009F5440">
        <w:t xml:space="preserve">earlier agreement to use </w:t>
      </w:r>
      <w:r w:rsidR="009F5440" w:rsidRPr="009157F6">
        <w:t>pre-defined sets</w:t>
      </w:r>
      <w:r w:rsidR="009F5440">
        <w:t xml:space="preserve"> (index-based solution) </w:t>
      </w:r>
      <w:r>
        <w:t>seems to favour a solution based on bullets a and c</w:t>
      </w:r>
      <w:r w:rsidR="009B56F1">
        <w:t>:</w:t>
      </w:r>
    </w:p>
    <w:p w14:paraId="749F117C" w14:textId="77777777" w:rsidR="009F5440" w:rsidRDefault="009F5440" w:rsidP="009F5440">
      <w:pPr>
        <w:widowControl w:val="0"/>
        <w:rPr>
          <w:rFonts w:ascii="Calibri" w:hAnsi="Calibri" w:cs="Calibri"/>
          <w:iCs/>
          <w:color w:val="00B050"/>
          <w:sz w:val="16"/>
          <w:szCs w:val="16"/>
        </w:rPr>
      </w:pPr>
      <w:r>
        <w:rPr>
          <w:rFonts w:ascii="Calibri" w:hAnsi="Calibri" w:cs="Calibri"/>
          <w:iCs/>
          <w:color w:val="00B050"/>
          <w:sz w:val="16"/>
          <w:szCs w:val="16"/>
        </w:rPr>
        <w:t>E-UTRAN CCO function should be considered as baseline for NG-RAN CCO solution for dynamic coverage changes with an index-based solution for coverage switching among deployment options</w:t>
      </w:r>
    </w:p>
    <w:p w14:paraId="5DEA4741" w14:textId="19656DCB" w:rsidR="009B56F1" w:rsidRDefault="00812A95" w:rsidP="009B56F1">
      <w:r>
        <w:t xml:space="preserve">A basic Rel-17 solution should therefore, in our view, follow this approach, and </w:t>
      </w:r>
      <w:r w:rsidR="00840FFD">
        <w:t>we think</w:t>
      </w:r>
      <w:r>
        <w:t xml:space="preserve"> that a solution that includes bullet b would </w:t>
      </w:r>
      <w:r w:rsidR="00840FFD">
        <w:t xml:space="preserve">not </w:t>
      </w:r>
      <w:r>
        <w:t>be in line with RAN3's earlier agreement.</w:t>
      </w:r>
    </w:p>
    <w:p w14:paraId="3C16F666" w14:textId="77777777" w:rsidR="00812A95" w:rsidRPr="00812A95" w:rsidRDefault="00812A95" w:rsidP="00812A95">
      <w:pPr>
        <w:rPr>
          <w:b/>
          <w:bCs/>
        </w:rPr>
      </w:pPr>
      <w:r w:rsidRPr="00812A95">
        <w:rPr>
          <w:b/>
          <w:bCs/>
        </w:rPr>
        <w:t>Proposal 2: For Rel-17 CCO over F1 should be based on the following steps:</w:t>
      </w:r>
    </w:p>
    <w:p w14:paraId="4F409649" w14:textId="41B036AE" w:rsidR="00812A95" w:rsidRPr="00812A95" w:rsidRDefault="005E343C" w:rsidP="00812A95">
      <w:pPr>
        <w:numPr>
          <w:ilvl w:val="0"/>
          <w:numId w:val="7"/>
        </w:numPr>
        <w:rPr>
          <w:b/>
          <w:bCs/>
        </w:rPr>
      </w:pPr>
      <w:r>
        <w:rPr>
          <w:b/>
          <w:bCs/>
        </w:rPr>
        <w:t xml:space="preserve">1. </w:t>
      </w:r>
      <w:r w:rsidR="00812A95" w:rsidRPr="00812A95">
        <w:rPr>
          <w:b/>
          <w:bCs/>
        </w:rPr>
        <w:t>gNB-CU decides that a coverage modification is needed</w:t>
      </w:r>
    </w:p>
    <w:p w14:paraId="0665A4F9" w14:textId="74D46F04" w:rsidR="00812A95" w:rsidRPr="00812A95" w:rsidRDefault="005E343C" w:rsidP="00812A95">
      <w:pPr>
        <w:numPr>
          <w:ilvl w:val="0"/>
          <w:numId w:val="7"/>
        </w:numPr>
        <w:rPr>
          <w:b/>
          <w:bCs/>
        </w:rPr>
      </w:pPr>
      <w:r>
        <w:rPr>
          <w:b/>
          <w:bCs/>
          <w:lang w:eastAsia="zh-CN"/>
        </w:rPr>
        <w:t xml:space="preserve">2. </w:t>
      </w:r>
      <w:r w:rsidR="00812A95" w:rsidRPr="00812A95">
        <w:rPr>
          <w:b/>
          <w:bCs/>
          <w:lang w:eastAsia="zh-CN"/>
        </w:rPr>
        <w:t>gNB-CU provide</w:t>
      </w:r>
      <w:r w:rsidR="00812A95">
        <w:rPr>
          <w:b/>
          <w:bCs/>
          <w:lang w:eastAsia="zh-CN"/>
        </w:rPr>
        <w:t>s</w:t>
      </w:r>
      <w:r w:rsidR="00812A95" w:rsidRPr="00812A95">
        <w:rPr>
          <w:b/>
          <w:bCs/>
          <w:lang w:eastAsia="zh-CN"/>
        </w:rPr>
        <w:t xml:space="preserve"> proposed coverage change to the gNB-DU</w:t>
      </w:r>
    </w:p>
    <w:p w14:paraId="149A4191" w14:textId="5465BC01" w:rsidR="007E32C0" w:rsidRPr="009B56F1" w:rsidRDefault="007E32C0" w:rsidP="002B06A8"/>
    <w:p w14:paraId="0D110258" w14:textId="77777777" w:rsidR="00CD4C7B" w:rsidRPr="006E13D1" w:rsidRDefault="00972FD7" w:rsidP="00CD4C7B">
      <w:pPr>
        <w:pStyle w:val="Heading1"/>
      </w:pPr>
      <w:r>
        <w:t>3</w:t>
      </w:r>
      <w:r w:rsidR="00CD4C7B" w:rsidRPr="006E13D1">
        <w:tab/>
      </w:r>
      <w:r>
        <w:t>Conclusion</w:t>
      </w:r>
    </w:p>
    <w:p w14:paraId="0099A456" w14:textId="6331B97F" w:rsidR="00812A95" w:rsidRDefault="00812A95" w:rsidP="00812A95">
      <w:pPr>
        <w:rPr>
          <w:b/>
          <w:bCs/>
        </w:rPr>
      </w:pPr>
      <w:r w:rsidRPr="00662CBF">
        <w:rPr>
          <w:b/>
          <w:bCs/>
        </w:rPr>
        <w:t>Proposal 1: Introduce support of basic NR CCO solution in Rel-17, where the SSB-beam configuration is linked with the cell coverage state.</w:t>
      </w:r>
    </w:p>
    <w:p w14:paraId="5C30A42C" w14:textId="77777777" w:rsidR="00812A95" w:rsidRPr="00812A95" w:rsidRDefault="00812A95" w:rsidP="00812A95">
      <w:pPr>
        <w:rPr>
          <w:b/>
          <w:bCs/>
        </w:rPr>
      </w:pPr>
      <w:r w:rsidRPr="00812A95">
        <w:rPr>
          <w:b/>
          <w:bCs/>
        </w:rPr>
        <w:t>Proposal 2: For Rel-17 CCO over F1 should be based on the following steps:</w:t>
      </w:r>
    </w:p>
    <w:p w14:paraId="5117267E" w14:textId="3DF2835C" w:rsidR="00812A95" w:rsidRPr="00812A95" w:rsidRDefault="005E343C" w:rsidP="00812A95">
      <w:pPr>
        <w:numPr>
          <w:ilvl w:val="0"/>
          <w:numId w:val="7"/>
        </w:numPr>
        <w:rPr>
          <w:b/>
          <w:bCs/>
        </w:rPr>
      </w:pPr>
      <w:r>
        <w:rPr>
          <w:b/>
          <w:bCs/>
        </w:rPr>
        <w:lastRenderedPageBreak/>
        <w:t xml:space="preserve">1. </w:t>
      </w:r>
      <w:r w:rsidR="00812A95" w:rsidRPr="00812A95">
        <w:rPr>
          <w:b/>
          <w:bCs/>
        </w:rPr>
        <w:t>gNB-CU decides that a coverage modification is needed</w:t>
      </w:r>
    </w:p>
    <w:p w14:paraId="002C88F1" w14:textId="1595E571" w:rsidR="00812A95" w:rsidRPr="00812A95" w:rsidRDefault="005E343C" w:rsidP="00812A95">
      <w:pPr>
        <w:numPr>
          <w:ilvl w:val="0"/>
          <w:numId w:val="7"/>
        </w:numPr>
        <w:rPr>
          <w:b/>
          <w:bCs/>
        </w:rPr>
      </w:pPr>
      <w:r>
        <w:rPr>
          <w:b/>
          <w:bCs/>
          <w:lang w:eastAsia="zh-CN"/>
        </w:rPr>
        <w:t xml:space="preserve">2. </w:t>
      </w:r>
      <w:r w:rsidR="00812A95" w:rsidRPr="00812A95">
        <w:rPr>
          <w:b/>
          <w:bCs/>
          <w:lang w:eastAsia="zh-CN"/>
        </w:rPr>
        <w:t>gNB-CU provide</w:t>
      </w:r>
      <w:r w:rsidR="00812A95">
        <w:rPr>
          <w:b/>
          <w:bCs/>
          <w:lang w:eastAsia="zh-CN"/>
        </w:rPr>
        <w:t>s</w:t>
      </w:r>
      <w:r w:rsidR="00812A95" w:rsidRPr="00812A95">
        <w:rPr>
          <w:b/>
          <w:bCs/>
          <w:lang w:eastAsia="zh-CN"/>
        </w:rPr>
        <w:t xml:space="preserve"> proposed coverage change to the gNB-DU</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E70F48" w14:textId="77777777" w:rsidR="00846205" w:rsidRDefault="00846205">
      <w:r>
        <w:separator/>
      </w:r>
    </w:p>
  </w:endnote>
  <w:endnote w:type="continuationSeparator" w:id="0">
    <w:p w14:paraId="7BB56397" w14:textId="77777777" w:rsidR="00846205" w:rsidRDefault="0084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D5730" w14:textId="77777777" w:rsidR="00846205" w:rsidRDefault="00846205">
      <w:r>
        <w:separator/>
      </w:r>
    </w:p>
  </w:footnote>
  <w:footnote w:type="continuationSeparator" w:id="0">
    <w:p w14:paraId="30F8C472" w14:textId="77777777" w:rsidR="00846205" w:rsidRDefault="0084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71A11D4"/>
    <w:multiLevelType w:val="hybridMultilevel"/>
    <w:tmpl w:val="C20CC27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3B23B2"/>
    <w:multiLevelType w:val="hybridMultilevel"/>
    <w:tmpl w:val="186E9792"/>
    <w:lvl w:ilvl="0" w:tplc="04090019">
      <w:start w:val="1"/>
      <w:numFmt w:val="lowerLetter"/>
      <w:lvlText w:val="%1."/>
      <w:lvlJc w:val="left"/>
      <w:pPr>
        <w:ind w:left="144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7BD14D42"/>
    <w:multiLevelType w:val="hybridMultilevel"/>
    <w:tmpl w:val="33D62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58AB"/>
    <w:rsid w:val="000D65D0"/>
    <w:rsid w:val="001075B7"/>
    <w:rsid w:val="001370F2"/>
    <w:rsid w:val="001549DD"/>
    <w:rsid w:val="00194CD0"/>
    <w:rsid w:val="001B08B3"/>
    <w:rsid w:val="001C4281"/>
    <w:rsid w:val="001D0D3F"/>
    <w:rsid w:val="001F168B"/>
    <w:rsid w:val="001F70B7"/>
    <w:rsid w:val="0022606D"/>
    <w:rsid w:val="002305DD"/>
    <w:rsid w:val="00243BC7"/>
    <w:rsid w:val="002623FC"/>
    <w:rsid w:val="002747EC"/>
    <w:rsid w:val="002855BF"/>
    <w:rsid w:val="002953B2"/>
    <w:rsid w:val="002B06A8"/>
    <w:rsid w:val="002E1692"/>
    <w:rsid w:val="002F0D22"/>
    <w:rsid w:val="003172DC"/>
    <w:rsid w:val="00326069"/>
    <w:rsid w:val="003454FC"/>
    <w:rsid w:val="0035462D"/>
    <w:rsid w:val="00363177"/>
    <w:rsid w:val="003702F7"/>
    <w:rsid w:val="00371F38"/>
    <w:rsid w:val="003B3FB3"/>
    <w:rsid w:val="003C4E37"/>
    <w:rsid w:val="003E1194"/>
    <w:rsid w:val="003E16BE"/>
    <w:rsid w:val="003E7223"/>
    <w:rsid w:val="00401855"/>
    <w:rsid w:val="00464695"/>
    <w:rsid w:val="004D3578"/>
    <w:rsid w:val="004D380D"/>
    <w:rsid w:val="004D3F58"/>
    <w:rsid w:val="004D5E47"/>
    <w:rsid w:val="004E213A"/>
    <w:rsid w:val="004E21FC"/>
    <w:rsid w:val="004F665E"/>
    <w:rsid w:val="00503171"/>
    <w:rsid w:val="005153FE"/>
    <w:rsid w:val="005240A4"/>
    <w:rsid w:val="00531C12"/>
    <w:rsid w:val="00534DA0"/>
    <w:rsid w:val="00540B31"/>
    <w:rsid w:val="00543E6C"/>
    <w:rsid w:val="00544635"/>
    <w:rsid w:val="00551ED3"/>
    <w:rsid w:val="005615E7"/>
    <w:rsid w:val="00565087"/>
    <w:rsid w:val="0056573F"/>
    <w:rsid w:val="00565BE9"/>
    <w:rsid w:val="00571CE2"/>
    <w:rsid w:val="005A4971"/>
    <w:rsid w:val="005B1232"/>
    <w:rsid w:val="005B2EEF"/>
    <w:rsid w:val="005B4CE1"/>
    <w:rsid w:val="005D4274"/>
    <w:rsid w:val="005E343C"/>
    <w:rsid w:val="00605E3E"/>
    <w:rsid w:val="00606DA9"/>
    <w:rsid w:val="00611566"/>
    <w:rsid w:val="00656E1E"/>
    <w:rsid w:val="006604E4"/>
    <w:rsid w:val="006C54B5"/>
    <w:rsid w:val="006D1E24"/>
    <w:rsid w:val="00734A5B"/>
    <w:rsid w:val="00741EC5"/>
    <w:rsid w:val="00743525"/>
    <w:rsid w:val="00744E76"/>
    <w:rsid w:val="007476DB"/>
    <w:rsid w:val="00757D40"/>
    <w:rsid w:val="00774846"/>
    <w:rsid w:val="00781F0F"/>
    <w:rsid w:val="0078727C"/>
    <w:rsid w:val="00797D4B"/>
    <w:rsid w:val="007C095F"/>
    <w:rsid w:val="007D5902"/>
    <w:rsid w:val="007E32C0"/>
    <w:rsid w:val="007F608E"/>
    <w:rsid w:val="00802106"/>
    <w:rsid w:val="008028A4"/>
    <w:rsid w:val="00806520"/>
    <w:rsid w:val="00812A95"/>
    <w:rsid w:val="00830106"/>
    <w:rsid w:val="00840916"/>
    <w:rsid w:val="00840FFD"/>
    <w:rsid w:val="00846205"/>
    <w:rsid w:val="00853EDD"/>
    <w:rsid w:val="008604EE"/>
    <w:rsid w:val="0087401D"/>
    <w:rsid w:val="008768CA"/>
    <w:rsid w:val="00880559"/>
    <w:rsid w:val="008947A8"/>
    <w:rsid w:val="008A1A38"/>
    <w:rsid w:val="008C490B"/>
    <w:rsid w:val="0090271F"/>
    <w:rsid w:val="00903D8C"/>
    <w:rsid w:val="00942EC2"/>
    <w:rsid w:val="00954BCB"/>
    <w:rsid w:val="00961B32"/>
    <w:rsid w:val="00971683"/>
    <w:rsid w:val="00972FD7"/>
    <w:rsid w:val="00974BB0"/>
    <w:rsid w:val="009A0F10"/>
    <w:rsid w:val="009A6E4F"/>
    <w:rsid w:val="009B56F1"/>
    <w:rsid w:val="009C4D5C"/>
    <w:rsid w:val="009D0A28"/>
    <w:rsid w:val="009F3B54"/>
    <w:rsid w:val="009F5440"/>
    <w:rsid w:val="009F7E6E"/>
    <w:rsid w:val="00A10F02"/>
    <w:rsid w:val="00A53724"/>
    <w:rsid w:val="00A82346"/>
    <w:rsid w:val="00A8361A"/>
    <w:rsid w:val="00A9671C"/>
    <w:rsid w:val="00AD4BCF"/>
    <w:rsid w:val="00AF4A8E"/>
    <w:rsid w:val="00AF78D5"/>
    <w:rsid w:val="00B1063A"/>
    <w:rsid w:val="00B15449"/>
    <w:rsid w:val="00B9781E"/>
    <w:rsid w:val="00BF39C7"/>
    <w:rsid w:val="00BF79F1"/>
    <w:rsid w:val="00C03035"/>
    <w:rsid w:val="00C275BC"/>
    <w:rsid w:val="00C33079"/>
    <w:rsid w:val="00C365F1"/>
    <w:rsid w:val="00C43B31"/>
    <w:rsid w:val="00C50536"/>
    <w:rsid w:val="00C55EB7"/>
    <w:rsid w:val="00C623D7"/>
    <w:rsid w:val="00CA3D0C"/>
    <w:rsid w:val="00CB6651"/>
    <w:rsid w:val="00CB6887"/>
    <w:rsid w:val="00CD4C7B"/>
    <w:rsid w:val="00D22038"/>
    <w:rsid w:val="00D45717"/>
    <w:rsid w:val="00D617AE"/>
    <w:rsid w:val="00D6491C"/>
    <w:rsid w:val="00D738D6"/>
    <w:rsid w:val="00D80795"/>
    <w:rsid w:val="00D81935"/>
    <w:rsid w:val="00D87E00"/>
    <w:rsid w:val="00D908B4"/>
    <w:rsid w:val="00D9134D"/>
    <w:rsid w:val="00D97CD9"/>
    <w:rsid w:val="00DA7A03"/>
    <w:rsid w:val="00DB1818"/>
    <w:rsid w:val="00DC309B"/>
    <w:rsid w:val="00DC4DA2"/>
    <w:rsid w:val="00DE1406"/>
    <w:rsid w:val="00DF1641"/>
    <w:rsid w:val="00E07838"/>
    <w:rsid w:val="00E340BC"/>
    <w:rsid w:val="00E51F8B"/>
    <w:rsid w:val="00E62835"/>
    <w:rsid w:val="00E77645"/>
    <w:rsid w:val="00E852FF"/>
    <w:rsid w:val="00E90ABE"/>
    <w:rsid w:val="00EA22F8"/>
    <w:rsid w:val="00EC4A25"/>
    <w:rsid w:val="00EE0A1E"/>
    <w:rsid w:val="00F025A2"/>
    <w:rsid w:val="00F2026E"/>
    <w:rsid w:val="00F2210A"/>
    <w:rsid w:val="00F37743"/>
    <w:rsid w:val="00F54A3D"/>
    <w:rsid w:val="00F653B8"/>
    <w:rsid w:val="00F76F8F"/>
    <w:rsid w:val="00FA1266"/>
    <w:rsid w:val="00FB2BEA"/>
    <w:rsid w:val="00FC1192"/>
    <w:rsid w:val="00FC53BF"/>
    <w:rsid w:val="00FC5B6F"/>
    <w:rsid w:val="00FD6740"/>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A9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0D65D0"/>
    <w:pPr>
      <w:spacing w:after="0"/>
    </w:pPr>
    <w:rPr>
      <w:rFonts w:ascii="Segoe UI" w:hAnsi="Segoe UI" w:cs="Segoe UI"/>
      <w:sz w:val="18"/>
      <w:szCs w:val="18"/>
    </w:rPr>
  </w:style>
  <w:style w:type="character" w:customStyle="1" w:styleId="BalloonTextChar">
    <w:name w:val="Balloon Text Char"/>
    <w:link w:val="BalloonText"/>
    <w:semiHidden/>
    <w:rsid w:val="000D65D0"/>
    <w:rPr>
      <w:rFonts w:ascii="Segoe UI" w:hAnsi="Segoe UI" w:cs="Segoe UI"/>
      <w:sz w:val="18"/>
      <w:szCs w:val="18"/>
      <w:lang w:val="en-GB" w:eastAsia="en-US"/>
    </w:rPr>
  </w:style>
  <w:style w:type="character" w:customStyle="1" w:styleId="Heading1Char">
    <w:name w:val="Heading 1 Char"/>
    <w:link w:val="Heading1"/>
    <w:rsid w:val="002B06A8"/>
    <w:rPr>
      <w:rFonts w:ascii="Arial" w:hAnsi="Arial"/>
      <w:sz w:val="36"/>
      <w:lang w:val="en-GB" w:eastAsia="en-US"/>
    </w:rPr>
  </w:style>
  <w:style w:type="character" w:customStyle="1" w:styleId="Heading2Char">
    <w:name w:val="Heading 2 Char"/>
    <w:link w:val="Heading2"/>
    <w:rsid w:val="002B06A8"/>
    <w:rPr>
      <w:rFonts w:ascii="Arial" w:hAnsi="Arial"/>
      <w:sz w:val="32"/>
      <w:lang w:val="en-GB" w:eastAsia="en-US"/>
    </w:rPr>
  </w:style>
  <w:style w:type="character" w:customStyle="1" w:styleId="TALCar">
    <w:name w:val="TAL Car"/>
    <w:link w:val="TAL"/>
    <w:rsid w:val="002B06A8"/>
    <w:rPr>
      <w:rFonts w:ascii="Arial" w:hAnsi="Arial"/>
      <w:sz w:val="18"/>
      <w:lang w:val="en-GB" w:eastAsia="en-US"/>
    </w:rPr>
  </w:style>
  <w:style w:type="character" w:customStyle="1" w:styleId="TACChar">
    <w:name w:val="TAC Char"/>
    <w:link w:val="TAC"/>
    <w:rsid w:val="002B06A8"/>
    <w:rPr>
      <w:rFonts w:ascii="Arial" w:hAnsi="Arial"/>
      <w:sz w:val="18"/>
      <w:lang w:val="en-GB" w:eastAsia="en-US"/>
    </w:rPr>
  </w:style>
  <w:style w:type="character" w:styleId="CommentReference">
    <w:name w:val="annotation reference"/>
    <w:rsid w:val="00DF1641"/>
    <w:rPr>
      <w:sz w:val="16"/>
      <w:szCs w:val="16"/>
    </w:rPr>
  </w:style>
  <w:style w:type="paragraph" w:styleId="CommentText">
    <w:name w:val="annotation text"/>
    <w:basedOn w:val="Normal"/>
    <w:link w:val="CommentTextChar"/>
    <w:rsid w:val="00DF1641"/>
  </w:style>
  <w:style w:type="character" w:customStyle="1" w:styleId="CommentTextChar">
    <w:name w:val="Comment Text Char"/>
    <w:link w:val="CommentText"/>
    <w:rsid w:val="00DF1641"/>
    <w:rPr>
      <w:lang w:val="en-GB" w:eastAsia="en-US"/>
    </w:rPr>
  </w:style>
  <w:style w:type="paragraph" w:styleId="CommentSubject">
    <w:name w:val="annotation subject"/>
    <w:basedOn w:val="CommentText"/>
    <w:next w:val="CommentText"/>
    <w:link w:val="CommentSubjectChar"/>
    <w:rsid w:val="00DF1641"/>
    <w:rPr>
      <w:b/>
      <w:bCs/>
    </w:rPr>
  </w:style>
  <w:style w:type="character" w:customStyle="1" w:styleId="CommentSubjectChar">
    <w:name w:val="Comment Subject Char"/>
    <w:link w:val="CommentSubject"/>
    <w:rsid w:val="00DF164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5AIRPNAIUNRU-490051479-3060</_dlc_DocId>
    <_dlc_DocIdUrl xmlns="71c5aaf6-e6ce-465b-b873-5148d2a4c105">
      <Url>https://nokia.sharepoint.com/sites/c5g/projects/FAAS/_layouts/15/DocIdRedir.aspx?ID=5AIRPNAIUNRU-490051479-3060</Url>
      <Description>5AIRPNAIUNRU-490051479-3060</Description>
    </_dlc_DocIdUrl>
    <_Flow_SignoffStatus xmlns="bd98b143-97af-43fb-a8de-63b93b94404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334219-C606-4F72-A320-8595E6740AB5}">
  <ds:schemaRefs>
    <ds:schemaRef ds:uri="http://schemas.microsoft.com/sharepoint/events"/>
  </ds:schemaRefs>
</ds:datastoreItem>
</file>

<file path=customXml/itemProps2.xml><?xml version="1.0" encoding="utf-8"?>
<ds:datastoreItem xmlns:ds="http://schemas.openxmlformats.org/officeDocument/2006/customXml" ds:itemID="{645365E7-711B-4F5B-A4D1-6C3D132CBE32}">
  <ds:schemaRefs>
    <ds:schemaRef ds:uri="http://schemas.microsoft.com/sharepoint/v3/contenttype/forms"/>
  </ds:schemaRefs>
</ds:datastoreItem>
</file>

<file path=customXml/itemProps3.xml><?xml version="1.0" encoding="utf-8"?>
<ds:datastoreItem xmlns:ds="http://schemas.openxmlformats.org/officeDocument/2006/customXml" ds:itemID="{7F108096-409C-4524-B0ED-F5E946BE9A15}">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4.xml><?xml version="1.0" encoding="utf-8"?>
<ds:datastoreItem xmlns:ds="http://schemas.openxmlformats.org/officeDocument/2006/customXml" ds:itemID="{CBCE40B8-14EE-4314-B351-EE7D7A502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B44E758-A0B1-4222-8C9A-69BC2229A4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725</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4704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26</cp:revision>
  <dcterms:created xsi:type="dcterms:W3CDTF">2019-06-29T13:33:00Z</dcterms:created>
  <dcterms:modified xsi:type="dcterms:W3CDTF">2021-05-06T20:53:00Z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ad1911b9-b397-4cc8-8948-e662325302ca</vt:lpwstr>
  </property>
</Properties>
</file>